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CE" w:rsidRDefault="00C12ACE" w:rsidP="004029BA">
      <w:pPr>
        <w:tabs>
          <w:tab w:val="left" w:pos="195"/>
        </w:tabs>
        <w:rPr>
          <w:rFonts w:ascii="Verdana" w:hAnsi="Verdana"/>
          <w:b/>
          <w:sz w:val="20"/>
          <w:szCs w:val="20"/>
        </w:rPr>
      </w:pPr>
    </w:p>
    <w:p w:rsidR="00C12ACE" w:rsidRPr="00152F71" w:rsidRDefault="00C12ACE" w:rsidP="00C12ACE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52"/>
        <w:gridCol w:w="5338"/>
      </w:tblGrid>
      <w:tr w:rsidR="00D739C1" w:rsidRPr="00152F71" w:rsidTr="00B55535">
        <w:trPr>
          <w:trHeight w:val="144"/>
        </w:trPr>
        <w:tc>
          <w:tcPr>
            <w:tcW w:w="2524" w:type="pct"/>
            <w:gridSpan w:val="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D739C1" w:rsidRDefault="00D739C1" w:rsidP="004029B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Teacher:</w:t>
            </w:r>
            <w:r w:rsidR="008378A9">
              <w:rPr>
                <w:rFonts w:ascii="Verdana" w:hAnsi="Verdana"/>
                <w:b/>
                <w:sz w:val="20"/>
                <w:szCs w:val="20"/>
              </w:rPr>
              <w:t xml:space="preserve"> Jamie Bloom</w:t>
            </w:r>
          </w:p>
        </w:tc>
        <w:tc>
          <w:tcPr>
            <w:tcW w:w="2476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D739C1" w:rsidRDefault="006D0EBB" w:rsidP="00C12A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School Year:</w:t>
            </w:r>
            <w:r w:rsidR="00A63282">
              <w:rPr>
                <w:rFonts w:ascii="Verdana" w:hAnsi="Verdana"/>
                <w:b/>
                <w:sz w:val="20"/>
                <w:szCs w:val="20"/>
              </w:rPr>
              <w:t xml:space="preserve"> 2014-2015</w:t>
            </w:r>
          </w:p>
        </w:tc>
      </w:tr>
      <w:tr w:rsidR="00C12ACE" w:rsidRPr="00152F71" w:rsidTr="00B55535">
        <w:trPr>
          <w:trHeight w:val="144"/>
        </w:trPr>
        <w:tc>
          <w:tcPr>
            <w:tcW w:w="2524" w:type="pct"/>
            <w:gridSpan w:val="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12ACE" w:rsidRPr="00995176" w:rsidRDefault="006D0EBB" w:rsidP="004029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Course</w:t>
            </w:r>
            <w:r w:rsidR="00C12ACE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12A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3282">
              <w:rPr>
                <w:rFonts w:ascii="Verdana" w:hAnsi="Verdana"/>
                <w:sz w:val="20"/>
                <w:szCs w:val="20"/>
              </w:rPr>
              <w:t>Trigonometry</w:t>
            </w:r>
          </w:p>
        </w:tc>
        <w:tc>
          <w:tcPr>
            <w:tcW w:w="2476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12ACE" w:rsidRPr="00995176" w:rsidRDefault="006D0EBB" w:rsidP="00C12A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Intended </w:t>
            </w:r>
            <w:r w:rsidR="00C12ACE">
              <w:rPr>
                <w:rFonts w:ascii="Verdana" w:hAnsi="Verdana"/>
                <w:b/>
                <w:sz w:val="20"/>
                <w:szCs w:val="20"/>
              </w:rPr>
              <w:t>Grade Level:</w:t>
            </w:r>
            <w:r w:rsidR="00C12A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78A9">
              <w:rPr>
                <w:rFonts w:ascii="Verdana" w:hAnsi="Verdana"/>
                <w:sz w:val="20"/>
                <w:szCs w:val="20"/>
              </w:rPr>
              <w:t>11</w:t>
            </w:r>
            <w:r w:rsidR="00A63282">
              <w:rPr>
                <w:rFonts w:ascii="Verdana" w:hAnsi="Verdana"/>
                <w:sz w:val="20"/>
                <w:szCs w:val="20"/>
              </w:rPr>
              <w:t>th</w:t>
            </w:r>
          </w:p>
        </w:tc>
      </w:tr>
      <w:tr w:rsidR="00C12ACE" w:rsidRPr="00152F71">
        <w:trPr>
          <w:trHeight w:val="311"/>
        </w:trPr>
        <w:tc>
          <w:tcPr>
            <w:tcW w:w="5000" w:type="pct"/>
            <w:gridSpan w:val="3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12ACE" w:rsidRPr="00C82A17" w:rsidRDefault="006D0EBB" w:rsidP="004A2507">
            <w:pPr>
              <w:tabs>
                <w:tab w:val="left" w:pos="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Course </w:t>
            </w:r>
            <w:r w:rsidR="00C12ACE" w:rsidRPr="00152F71">
              <w:rPr>
                <w:rFonts w:ascii="Verdana" w:hAnsi="Verdana"/>
                <w:b/>
                <w:sz w:val="20"/>
                <w:szCs w:val="20"/>
              </w:rPr>
              <w:t>Summary:</w:t>
            </w:r>
            <w:r w:rsidR="005679FA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5679FA">
              <w:rPr>
                <w:rFonts w:ascii="Verdana" w:hAnsi="Verdana"/>
                <w:sz w:val="20"/>
                <w:szCs w:val="20"/>
              </w:rPr>
              <w:t xml:space="preserve">This course connects representations algebraically, graphically, and numerical </w:t>
            </w:r>
            <w:r w:rsidR="007D5E26">
              <w:rPr>
                <w:rFonts w:ascii="Verdana" w:hAnsi="Verdana"/>
                <w:sz w:val="20"/>
                <w:szCs w:val="20"/>
              </w:rPr>
              <w:t>representation to solve worldly problems</w:t>
            </w:r>
            <w:r w:rsidR="007F5559" w:rsidRPr="00C82A17">
              <w:rPr>
                <w:rFonts w:ascii="Verdana" w:hAnsi="Verdana"/>
                <w:sz w:val="20"/>
                <w:szCs w:val="20"/>
              </w:rPr>
              <w:t>.</w:t>
            </w:r>
            <w:r w:rsidR="007D5E26">
              <w:rPr>
                <w:rFonts w:ascii="Verdana" w:hAnsi="Verdana"/>
                <w:sz w:val="20"/>
                <w:szCs w:val="20"/>
              </w:rPr>
              <w:t xml:space="preserve"> The course explores many types of functions to include the trigonometric functions.</w:t>
            </w:r>
          </w:p>
          <w:p w:rsidR="004A2507" w:rsidRPr="00EA37E3" w:rsidRDefault="004A2507" w:rsidP="004A2507">
            <w:pPr>
              <w:tabs>
                <w:tab w:val="left" w:pos="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12ACE" w:rsidRPr="00152F71">
        <w:trPr>
          <w:trHeight w:val="520"/>
        </w:trPr>
        <w:tc>
          <w:tcPr>
            <w:tcW w:w="5000" w:type="pct"/>
            <w:gridSpan w:val="3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12ACE" w:rsidRPr="00EA37E3" w:rsidRDefault="006D0EBB" w:rsidP="00C12ACE">
            <w:pPr>
              <w:tabs>
                <w:tab w:val="left" w:pos="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Course</w:t>
            </w:r>
            <w:r w:rsidR="00B555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029BA">
              <w:rPr>
                <w:rFonts w:ascii="Verdana" w:hAnsi="Verdana"/>
                <w:b/>
                <w:sz w:val="20"/>
                <w:szCs w:val="20"/>
              </w:rPr>
              <w:t>Outcomes:</w:t>
            </w:r>
          </w:p>
          <w:p w:rsidR="00C12ACE" w:rsidRPr="00C82A17" w:rsidRDefault="006D0EBB" w:rsidP="00C12ACE">
            <w:pPr>
              <w:tabs>
                <w:tab w:val="left" w:pos="72"/>
              </w:tabs>
              <w:ind w:left="-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By the end of the course</w:t>
            </w:r>
            <w:r w:rsidR="00B55535">
              <w:rPr>
                <w:rFonts w:ascii="Verdana" w:hAnsi="Verdana"/>
                <w:b/>
                <w:i/>
                <w:sz w:val="20"/>
                <w:szCs w:val="20"/>
              </w:rPr>
              <w:t>, students will know:</w:t>
            </w:r>
            <w:r w:rsidR="000511E2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7D5E26">
              <w:rPr>
                <w:rFonts w:ascii="Verdana" w:hAnsi="Verdana"/>
                <w:sz w:val="20"/>
                <w:szCs w:val="20"/>
              </w:rPr>
              <w:t>the 12 basic functions, the logistic and exponential functions, and the trigonometric functions.</w:t>
            </w:r>
          </w:p>
          <w:p w:rsidR="00B55535" w:rsidRDefault="00B55535" w:rsidP="00C12ACE">
            <w:pPr>
              <w:tabs>
                <w:tab w:val="left" w:pos="72"/>
              </w:tabs>
              <w:ind w:left="-72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D739C1" w:rsidRPr="003B495E" w:rsidRDefault="00B55535" w:rsidP="007D5E26">
            <w:pPr>
              <w:tabs>
                <w:tab w:val="left" w:pos="72"/>
              </w:tabs>
              <w:ind w:left="-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By the end of the </w:t>
            </w:r>
            <w:r w:rsidR="006D0EBB">
              <w:rPr>
                <w:rFonts w:ascii="Verdana" w:hAnsi="Verdana"/>
                <w:b/>
                <w:i/>
                <w:sz w:val="20"/>
                <w:szCs w:val="20"/>
              </w:rPr>
              <w:t>course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, students will be able to</w:t>
            </w:r>
            <w:r w:rsidRPr="00C82A17">
              <w:rPr>
                <w:rFonts w:ascii="Verdana" w:hAnsi="Verdana"/>
                <w:sz w:val="20"/>
                <w:szCs w:val="20"/>
              </w:rPr>
              <w:t>:</w:t>
            </w:r>
            <w:r w:rsidR="000511E2" w:rsidRPr="00C82A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5E26">
              <w:rPr>
                <w:rFonts w:ascii="Verdana" w:hAnsi="Verdana"/>
                <w:sz w:val="20"/>
                <w:szCs w:val="20"/>
              </w:rPr>
              <w:t>Solve modeling problems graphically and algebraically containing the various types of functions addressed.</w:t>
            </w:r>
          </w:p>
        </w:tc>
      </w:tr>
      <w:tr w:rsidR="00C12ACE" w:rsidRPr="00152F71">
        <w:trPr>
          <w:trHeight w:val="257"/>
        </w:trPr>
        <w:tc>
          <w:tcPr>
            <w:tcW w:w="5000" w:type="pct"/>
            <w:gridSpan w:val="3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81B1C" w:rsidRDefault="00BD1996" w:rsidP="00BD1996">
            <w:pPr>
              <w:tabs>
                <w:tab w:val="left" w:pos="72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Standards Targeted</w:t>
            </w:r>
            <w:r w:rsidR="00281B1C">
              <w:rPr>
                <w:rStyle w:val="FootnoteReference"/>
                <w:rFonts w:ascii="Verdana" w:hAnsi="Verdana"/>
                <w:b/>
                <w:sz w:val="20"/>
                <w:szCs w:val="20"/>
              </w:rPr>
              <w:footnoteReference w:id="1"/>
            </w:r>
          </w:p>
          <w:p w:rsidR="00281B1C" w:rsidRPr="00C82A17" w:rsidRDefault="00891921" w:rsidP="00BD1996">
            <w:pPr>
              <w:tabs>
                <w:tab w:val="left" w:pos="72"/>
              </w:tabs>
              <w:rPr>
                <w:rFonts w:ascii="Verdana" w:hAnsi="Verdana"/>
                <w:sz w:val="20"/>
                <w:szCs w:val="20"/>
              </w:rPr>
            </w:pPr>
            <w:r w:rsidRPr="00C82A17">
              <w:rPr>
                <w:rFonts w:ascii="Verdana" w:hAnsi="Verdana"/>
                <w:sz w:val="20"/>
                <w:szCs w:val="20"/>
              </w:rPr>
              <w:t>Common Core State Standards</w:t>
            </w:r>
          </w:p>
          <w:p w:rsidR="00891921" w:rsidRPr="00C82A17" w:rsidRDefault="00891921" w:rsidP="00BD1996">
            <w:pPr>
              <w:tabs>
                <w:tab w:val="left" w:pos="72"/>
              </w:tabs>
              <w:rPr>
                <w:rFonts w:ascii="Verdana" w:hAnsi="Verdana"/>
                <w:sz w:val="20"/>
                <w:szCs w:val="20"/>
              </w:rPr>
            </w:pPr>
            <w:r w:rsidRPr="00C82A17">
              <w:rPr>
                <w:rFonts w:ascii="Verdana" w:hAnsi="Verdana"/>
                <w:sz w:val="20"/>
                <w:szCs w:val="20"/>
              </w:rPr>
              <w:t>NCTM Standards</w:t>
            </w:r>
          </w:p>
          <w:p w:rsidR="00BD1996" w:rsidRPr="00152F71" w:rsidRDefault="00BD1996" w:rsidP="00BD1996">
            <w:pPr>
              <w:tabs>
                <w:tab w:val="left" w:pos="72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2ACE" w:rsidRPr="00152F71" w:rsidTr="007C1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12ACE" w:rsidRPr="00152F71" w:rsidRDefault="006D0EBB" w:rsidP="00B555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Units of Study</w:t>
            </w:r>
          </w:p>
        </w:tc>
      </w:tr>
      <w:tr w:rsidR="006D0EBB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D0EBB" w:rsidRDefault="006D0EBB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Units Topic</w:t>
            </w:r>
          </w:p>
        </w:tc>
        <w:tc>
          <w:tcPr>
            <w:tcW w:w="2500" w:type="pct"/>
            <w:gridSpan w:val="2"/>
          </w:tcPr>
          <w:p w:rsidR="006D0EBB" w:rsidRDefault="006D0EBB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Primary Learning Outcome</w:t>
            </w:r>
          </w:p>
        </w:tc>
      </w:tr>
      <w:tr w:rsidR="006D0EBB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D0EBB" w:rsidRPr="00C82A17" w:rsidRDefault="00311C82" w:rsidP="00B5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Functions and Graphs</w:t>
            </w:r>
          </w:p>
        </w:tc>
        <w:tc>
          <w:tcPr>
            <w:tcW w:w="2500" w:type="pct"/>
            <w:gridSpan w:val="2"/>
          </w:tcPr>
          <w:p w:rsidR="006D0EBB" w:rsidRPr="00C82A17" w:rsidRDefault="007B1900" w:rsidP="00B5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Graphical transformations, translations, reflections, and stretching.  </w:t>
            </w:r>
          </w:p>
        </w:tc>
      </w:tr>
      <w:tr w:rsidR="006D0EBB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D0EBB" w:rsidRPr="00C82A17" w:rsidRDefault="00311C82" w:rsidP="00B5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Polynomial, Power, and Rational Functions</w:t>
            </w:r>
          </w:p>
        </w:tc>
        <w:tc>
          <w:tcPr>
            <w:tcW w:w="2500" w:type="pct"/>
            <w:gridSpan w:val="2"/>
          </w:tcPr>
          <w:p w:rsidR="006D0EBB" w:rsidRPr="00C82A17" w:rsidRDefault="007B1900" w:rsidP="00B5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Graphing polynomial functions.  Rational functions along with complex roots.  Solving Polynomial and rational inequalities. </w:t>
            </w:r>
          </w:p>
        </w:tc>
      </w:tr>
      <w:tr w:rsidR="006D0EBB" w:rsidRPr="00C82A17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D0EBB" w:rsidRPr="00C82A17" w:rsidRDefault="00311C82" w:rsidP="00B5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Exponential, Logistic, and Logarithmic Functions</w:t>
            </w:r>
          </w:p>
        </w:tc>
        <w:tc>
          <w:tcPr>
            <w:tcW w:w="2500" w:type="pct"/>
            <w:gridSpan w:val="2"/>
          </w:tcPr>
          <w:p w:rsidR="006D0EBB" w:rsidRPr="00C82A17" w:rsidRDefault="007B1900" w:rsidP="00B5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Use regression models for exponential and logistic functions.  Solving and modeling with Newton’s Law and Annual percentage yield.</w:t>
            </w:r>
          </w:p>
        </w:tc>
      </w:tr>
      <w:tr w:rsidR="006D0EBB" w:rsidRPr="00C82A17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D0EBB" w:rsidRPr="00C82A17" w:rsidRDefault="00311C82" w:rsidP="00B5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Trigonometric Functions</w:t>
            </w:r>
          </w:p>
        </w:tc>
        <w:tc>
          <w:tcPr>
            <w:tcW w:w="2500" w:type="pct"/>
            <w:gridSpan w:val="2"/>
          </w:tcPr>
          <w:p w:rsidR="006D0EBB" w:rsidRPr="00C82A17" w:rsidRDefault="00D70285" w:rsidP="00B55535">
            <w:pPr>
              <w:rPr>
                <w:rFonts w:ascii="Verdana" w:hAnsi="Verdana"/>
                <w:sz w:val="20"/>
                <w:szCs w:val="20"/>
              </w:rPr>
            </w:pPr>
            <w:r w:rsidRPr="00C82A17">
              <w:rPr>
                <w:rFonts w:ascii="Verdana" w:hAnsi="Verdana"/>
                <w:sz w:val="20"/>
                <w:szCs w:val="20"/>
              </w:rPr>
              <w:t>Graph periodic f</w:t>
            </w:r>
            <w:r w:rsidR="00DA18BE" w:rsidRPr="00C82A17">
              <w:rPr>
                <w:rFonts w:ascii="Verdana" w:hAnsi="Verdana"/>
                <w:sz w:val="20"/>
                <w:szCs w:val="20"/>
              </w:rPr>
              <w:t>unctions sine and cosine,  identify and graph translations of the sine and cosine graphs</w:t>
            </w:r>
            <w:r w:rsidRPr="00C82A1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A18BE" w:rsidRPr="00C82A17">
              <w:rPr>
                <w:rFonts w:ascii="Verdana" w:hAnsi="Verdana"/>
                <w:sz w:val="20"/>
                <w:szCs w:val="20"/>
              </w:rPr>
              <w:t xml:space="preserve">graph the tangent, cotangent secant, and cosecant functions, </w:t>
            </w:r>
            <w:r w:rsidRPr="00C82A17">
              <w:rPr>
                <w:rFonts w:ascii="Verdana" w:hAnsi="Verdana"/>
                <w:sz w:val="20"/>
                <w:szCs w:val="20"/>
              </w:rPr>
              <w:t xml:space="preserve">use trigonometric functions and graphs to interpret </w:t>
            </w:r>
            <w:r w:rsidR="009461F2" w:rsidRPr="00C82A17">
              <w:rPr>
                <w:rFonts w:ascii="Verdana" w:hAnsi="Verdana"/>
                <w:sz w:val="20"/>
                <w:szCs w:val="20"/>
              </w:rPr>
              <w:t>phenomena that are periodic</w:t>
            </w:r>
          </w:p>
        </w:tc>
      </w:tr>
      <w:tr w:rsidR="006D0EBB" w:rsidRPr="00C82A17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D0EBB" w:rsidRPr="00C82A17" w:rsidRDefault="00311C82" w:rsidP="00B5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Analytic Trigonometry</w:t>
            </w:r>
          </w:p>
        </w:tc>
        <w:tc>
          <w:tcPr>
            <w:tcW w:w="2500" w:type="pct"/>
            <w:gridSpan w:val="2"/>
          </w:tcPr>
          <w:p w:rsidR="006D0EBB" w:rsidRPr="00C82A17" w:rsidRDefault="009461F2" w:rsidP="00B55535">
            <w:pPr>
              <w:rPr>
                <w:rFonts w:ascii="Verdana" w:hAnsi="Verdana"/>
                <w:sz w:val="20"/>
                <w:szCs w:val="20"/>
              </w:rPr>
            </w:pPr>
            <w:r w:rsidRPr="00C82A17">
              <w:rPr>
                <w:rFonts w:ascii="Verdana" w:hAnsi="Verdana"/>
                <w:sz w:val="20"/>
                <w:szCs w:val="20"/>
              </w:rPr>
              <w:t>Use fundamental identi</w:t>
            </w:r>
            <w:r w:rsidR="00DA18BE" w:rsidRPr="00C82A17">
              <w:rPr>
                <w:rFonts w:ascii="Verdana" w:hAnsi="Verdana"/>
                <w:sz w:val="20"/>
                <w:szCs w:val="20"/>
              </w:rPr>
              <w:t>ti</w:t>
            </w:r>
            <w:r w:rsidRPr="00C82A17">
              <w:rPr>
                <w:rFonts w:ascii="Verdana" w:hAnsi="Verdana"/>
                <w:sz w:val="20"/>
                <w:szCs w:val="20"/>
              </w:rPr>
              <w:t xml:space="preserve">es, verify </w:t>
            </w:r>
            <w:r w:rsidR="00DA18BE" w:rsidRPr="00C82A17">
              <w:rPr>
                <w:rFonts w:ascii="Verdana" w:hAnsi="Verdana"/>
                <w:sz w:val="20"/>
                <w:szCs w:val="20"/>
              </w:rPr>
              <w:t xml:space="preserve">trigonometric </w:t>
            </w:r>
            <w:r w:rsidRPr="00C82A17">
              <w:rPr>
                <w:rFonts w:ascii="Verdana" w:hAnsi="Verdana"/>
                <w:sz w:val="20"/>
                <w:szCs w:val="20"/>
              </w:rPr>
              <w:t>identities,</w:t>
            </w:r>
            <w:r w:rsidR="00DA18BE" w:rsidRPr="00C82A17">
              <w:rPr>
                <w:rFonts w:ascii="Verdana" w:hAnsi="Verdana"/>
                <w:sz w:val="20"/>
                <w:szCs w:val="20"/>
              </w:rPr>
              <w:t xml:space="preserve"> use and apply difference identities for </w:t>
            </w:r>
            <w:r w:rsidR="00DA18BE" w:rsidRPr="00C82A17">
              <w:rPr>
                <w:rFonts w:ascii="Verdana" w:hAnsi="Verdana"/>
                <w:sz w:val="20"/>
                <w:szCs w:val="20"/>
              </w:rPr>
              <w:lastRenderedPageBreak/>
              <w:t>cosine, sine, and tangent, use double-angle ide</w:t>
            </w:r>
            <w:r w:rsidR="000452C2" w:rsidRPr="00C82A17">
              <w:rPr>
                <w:rFonts w:ascii="Verdana" w:hAnsi="Verdana"/>
                <w:sz w:val="20"/>
                <w:szCs w:val="20"/>
              </w:rPr>
              <w:t>ntities, and use half-angle</w:t>
            </w:r>
            <w:r w:rsidR="00DA18BE" w:rsidRPr="00C82A17">
              <w:rPr>
                <w:rFonts w:ascii="Verdana" w:hAnsi="Verdana"/>
                <w:sz w:val="20"/>
                <w:szCs w:val="20"/>
              </w:rPr>
              <w:t xml:space="preserve"> identities</w:t>
            </w:r>
            <w:r w:rsidR="007B190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B1900" w:rsidRPr="00C82A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1900" w:rsidRPr="00C82A17">
              <w:rPr>
                <w:rFonts w:ascii="Verdana" w:hAnsi="Verdana"/>
                <w:sz w:val="20"/>
                <w:szCs w:val="20"/>
              </w:rPr>
              <w:t xml:space="preserve">Solve oblique triangles using the law of </w:t>
            </w:r>
            <w:proofErr w:type="spellStart"/>
            <w:r w:rsidR="007B1900" w:rsidRPr="00C82A17">
              <w:rPr>
                <w:rFonts w:ascii="Verdana" w:hAnsi="Verdana"/>
                <w:sz w:val="20"/>
                <w:szCs w:val="20"/>
              </w:rPr>
              <w:t>sines</w:t>
            </w:r>
            <w:proofErr w:type="spellEnd"/>
            <w:r w:rsidR="007B1900" w:rsidRPr="00C82A17">
              <w:rPr>
                <w:rFonts w:ascii="Verdana" w:hAnsi="Verdana"/>
                <w:sz w:val="20"/>
                <w:szCs w:val="20"/>
              </w:rPr>
              <w:t>, solve oblique triangles using the law of cosines, use operations of vectors, and apply vectors</w:t>
            </w:r>
            <w:r w:rsidR="007B190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D0EBB" w:rsidRPr="00C82A17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D0EBB" w:rsidRPr="00C82A17" w:rsidRDefault="00311C82" w:rsidP="00B5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Applications of Trigonometry</w:t>
            </w:r>
          </w:p>
        </w:tc>
        <w:tc>
          <w:tcPr>
            <w:tcW w:w="2500" w:type="pct"/>
            <w:gridSpan w:val="2"/>
          </w:tcPr>
          <w:p w:rsidR="006D0EBB" w:rsidRPr="00C82A17" w:rsidRDefault="007B1900" w:rsidP="00B55535">
            <w:pPr>
              <w:rPr>
                <w:rFonts w:ascii="Verdana" w:hAnsi="Verdana"/>
                <w:sz w:val="20"/>
                <w:szCs w:val="20"/>
              </w:rPr>
            </w:pPr>
            <w:r w:rsidRPr="00C82A17">
              <w:rPr>
                <w:rFonts w:ascii="Verdana" w:hAnsi="Verdana"/>
                <w:sz w:val="20"/>
                <w:szCs w:val="20"/>
              </w:rPr>
              <w:t xml:space="preserve">Review complex numbers and their operations, write the trigonometric form of complex numbers, use the product and quotient theorems in trigonometric form, use De </w:t>
            </w:r>
            <w:proofErr w:type="spellStart"/>
            <w:r w:rsidRPr="00C82A17">
              <w:rPr>
                <w:rFonts w:ascii="Verdana" w:hAnsi="Verdana"/>
                <w:sz w:val="20"/>
                <w:szCs w:val="20"/>
              </w:rPr>
              <w:t>Moivre’s</w:t>
            </w:r>
            <w:proofErr w:type="spellEnd"/>
            <w:r w:rsidRPr="00C82A17">
              <w:rPr>
                <w:rFonts w:ascii="Verdana" w:hAnsi="Verdana"/>
                <w:sz w:val="20"/>
                <w:szCs w:val="20"/>
              </w:rPr>
              <w:t xml:space="preserve"> Theorem, and graph and solve polar equations</w:t>
            </w:r>
          </w:p>
        </w:tc>
      </w:tr>
      <w:tr w:rsidR="006D0EBB" w:rsidRPr="00C82A17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D0EBB" w:rsidRPr="00C82A17" w:rsidRDefault="006D0EBB" w:rsidP="00B555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6D0EBB" w:rsidRPr="00C82A17" w:rsidRDefault="006D0EBB" w:rsidP="00B555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0EBB" w:rsidRPr="00C82A17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D0EBB" w:rsidRPr="00C82A17" w:rsidRDefault="006D0EBB" w:rsidP="00B555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6D0EBB" w:rsidRPr="00C82A17" w:rsidRDefault="006D0EBB" w:rsidP="00B555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0EBB" w:rsidRPr="00C82A17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D0EBB" w:rsidRDefault="006D0EBB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6D0EBB" w:rsidRPr="00C82A17" w:rsidRDefault="006D0EBB" w:rsidP="00B555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5535" w:rsidRPr="00152F71" w:rsidTr="007C1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55535" w:rsidRPr="00152F71" w:rsidRDefault="00B55535" w:rsidP="006D0E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Advanced Learner </w:t>
            </w:r>
            <w:r w:rsidR="006D0EBB">
              <w:rPr>
                <w:rFonts w:ascii="Verdana" w:hAnsi="Verdana"/>
                <w:b/>
                <w:sz w:val="20"/>
                <w:szCs w:val="20"/>
              </w:rPr>
              <w:t>Recommendations</w:t>
            </w:r>
          </w:p>
        </w:tc>
      </w:tr>
      <w:tr w:rsidR="00B55535" w:rsidRPr="0015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000" w:type="pct"/>
            <w:gridSpan w:val="3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55535" w:rsidRDefault="009069DB" w:rsidP="004A25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Advanced learners in Trigonometry can see th</w:t>
            </w:r>
            <w:r w:rsidR="000E2226">
              <w:rPr>
                <w:rFonts w:ascii="Verdana" w:hAnsi="Verdana"/>
                <w:sz w:val="20"/>
                <w:szCs w:val="20"/>
              </w:rPr>
              <w:t>e teacher for a higher level/</w:t>
            </w:r>
            <w:r>
              <w:rPr>
                <w:rFonts w:ascii="Verdana" w:hAnsi="Verdana"/>
                <w:sz w:val="20"/>
                <w:szCs w:val="20"/>
              </w:rPr>
              <w:t>more motivating application to real world problems</w:t>
            </w:r>
            <w:r w:rsidR="000E2226">
              <w:rPr>
                <w:rFonts w:ascii="Verdana" w:hAnsi="Verdana"/>
                <w:sz w:val="20"/>
                <w:szCs w:val="20"/>
              </w:rPr>
              <w:t>. These students can focus on the conceptual thinking by doing less practice problems and more concept check and application problems.</w:t>
            </w:r>
          </w:p>
          <w:p w:rsidR="00B55535" w:rsidRDefault="00B55535" w:rsidP="004A2507">
            <w:pPr>
              <w:rPr>
                <w:rFonts w:ascii="Verdana" w:hAnsi="Verdana"/>
                <w:sz w:val="20"/>
                <w:szCs w:val="20"/>
              </w:rPr>
            </w:pPr>
          </w:p>
          <w:p w:rsidR="00B55535" w:rsidRPr="00EA37E3" w:rsidRDefault="00B55535" w:rsidP="004A25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5535" w:rsidRPr="00152F71" w:rsidTr="007C1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55535" w:rsidRPr="00152F71" w:rsidRDefault="00B55535" w:rsidP="006D0E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Struggling Learner </w:t>
            </w:r>
            <w:r w:rsidR="006D0EBB">
              <w:rPr>
                <w:rFonts w:ascii="Verdana" w:hAnsi="Verdana"/>
                <w:b/>
                <w:sz w:val="20"/>
                <w:szCs w:val="20"/>
              </w:rPr>
              <w:t>Recommendations</w:t>
            </w:r>
          </w:p>
        </w:tc>
      </w:tr>
      <w:tr w:rsidR="00B55535" w:rsidRPr="0015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55535" w:rsidRDefault="00F5495F" w:rsidP="00F549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Flex period is available to struggling learners to get help with homework or review material covered in class. Struggling students can get extra practice and tutorial online help,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, which is directly correlated with this course and textbook. S</w:t>
            </w:r>
            <w:r w:rsidR="00470B64">
              <w:rPr>
                <w:rFonts w:ascii="Verdana" w:hAnsi="Verdana"/>
                <w:sz w:val="20"/>
                <w:szCs w:val="20"/>
              </w:rPr>
              <w:t>truggling students can be</w:t>
            </w:r>
            <w:r>
              <w:rPr>
                <w:rFonts w:ascii="Verdana" w:hAnsi="Verdana"/>
                <w:sz w:val="20"/>
                <w:szCs w:val="20"/>
              </w:rPr>
              <w:t xml:space="preserve"> enroll in Applied Trigonometry which concentrates mainly on the sine, cosine, and tangent trigonometry functions</w:t>
            </w:r>
            <w:r w:rsidR="00434748">
              <w:rPr>
                <w:rFonts w:ascii="Verdana" w:hAnsi="Verdana"/>
                <w:sz w:val="20"/>
                <w:szCs w:val="20"/>
              </w:rPr>
              <w:t>. Testing</w:t>
            </w:r>
            <w:r>
              <w:rPr>
                <w:rFonts w:ascii="Verdana" w:hAnsi="Verdana"/>
                <w:sz w:val="20"/>
                <w:szCs w:val="20"/>
              </w:rPr>
              <w:t xml:space="preserve"> offer</w:t>
            </w:r>
            <w:r w:rsidR="00434748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multiple choice, matching, true/false problems along with the regular completion problems.</w:t>
            </w:r>
          </w:p>
          <w:p w:rsidR="00F5495F" w:rsidRDefault="00F5495F" w:rsidP="00F5495F">
            <w:pPr>
              <w:rPr>
                <w:rFonts w:ascii="Verdana" w:hAnsi="Verdana"/>
                <w:sz w:val="20"/>
                <w:szCs w:val="20"/>
              </w:rPr>
            </w:pPr>
          </w:p>
          <w:p w:rsidR="00B55535" w:rsidRPr="00EA37E3" w:rsidRDefault="00F5495F" w:rsidP="00B5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IEP Students: All ac</w:t>
            </w:r>
            <w:r w:rsidR="00434748">
              <w:rPr>
                <w:rFonts w:ascii="Verdana" w:hAnsi="Verdana"/>
                <w:sz w:val="20"/>
                <w:szCs w:val="20"/>
              </w:rPr>
              <w:t>commo</w:t>
            </w:r>
            <w:r>
              <w:rPr>
                <w:rFonts w:ascii="Verdana" w:hAnsi="Verdana"/>
                <w:sz w:val="20"/>
                <w:szCs w:val="20"/>
              </w:rPr>
              <w:t xml:space="preserve">dations included in student’s Individual Educational Plan will be followed and modifications to the regular trigonometry curriculum will be made as needed for extra practice, testing, and homework by the </w:t>
            </w:r>
            <w:r w:rsidR="00434748">
              <w:rPr>
                <w:rFonts w:ascii="Verdana" w:hAnsi="Verdana"/>
                <w:sz w:val="20"/>
                <w:szCs w:val="20"/>
              </w:rPr>
              <w:t>learning support teacher.</w:t>
            </w:r>
          </w:p>
        </w:tc>
      </w:tr>
    </w:tbl>
    <w:p w:rsidR="00C12ACE" w:rsidRPr="00C04BC0" w:rsidRDefault="00C12ACE" w:rsidP="00C12ACE">
      <w:pPr>
        <w:rPr>
          <w:rFonts w:ascii="Verdana" w:hAnsi="Verdana"/>
          <w:b/>
          <w:sz w:val="20"/>
          <w:szCs w:val="20"/>
        </w:rPr>
      </w:pPr>
    </w:p>
    <w:sectPr w:rsidR="00C12ACE" w:rsidRPr="00C04BC0" w:rsidSect="00C12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F1" w:rsidRDefault="005271F1" w:rsidP="00C12ACE">
      <w:r>
        <w:separator/>
      </w:r>
    </w:p>
  </w:endnote>
  <w:endnote w:type="continuationSeparator" w:id="0">
    <w:p w:rsidR="005271F1" w:rsidRDefault="005271F1" w:rsidP="00C1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BB" w:rsidRDefault="006D0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BB" w:rsidRDefault="006D0EBB" w:rsidP="00C12ACE">
    <w:pPr>
      <w:jc w:val="center"/>
      <w:rPr>
        <w:rFonts w:ascii="Verdana" w:hAnsi="Verdana"/>
        <w:color w:val="000000"/>
        <w:sz w:val="16"/>
        <w:szCs w:val="16"/>
      </w:rPr>
    </w:pPr>
  </w:p>
  <w:p w:rsidR="006D0EBB" w:rsidRDefault="006D0EBB" w:rsidP="00EE4925">
    <w:pPr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Revised - </w:t>
    </w:r>
    <w:r w:rsidRPr="00EE4925">
      <w:rPr>
        <w:rFonts w:ascii="Verdana" w:hAnsi="Verdana"/>
        <w:color w:val="000000"/>
        <w:sz w:val="16"/>
        <w:szCs w:val="16"/>
      </w:rPr>
      <w:fldChar w:fldCharType="begin"/>
    </w:r>
    <w:r w:rsidRPr="00EE4925">
      <w:rPr>
        <w:rFonts w:ascii="Verdana" w:hAnsi="Verdana"/>
        <w:color w:val="000000"/>
        <w:sz w:val="16"/>
        <w:szCs w:val="16"/>
      </w:rPr>
      <w:instrText xml:space="preserve"> DATE \@ "MMMM d, yyyy" </w:instrText>
    </w:r>
    <w:r w:rsidRPr="00EE4925">
      <w:rPr>
        <w:rFonts w:ascii="Verdana" w:hAnsi="Verdana"/>
        <w:color w:val="000000"/>
        <w:sz w:val="16"/>
        <w:szCs w:val="16"/>
      </w:rPr>
      <w:fldChar w:fldCharType="separate"/>
    </w:r>
    <w:r w:rsidR="007B1900">
      <w:rPr>
        <w:rFonts w:ascii="Verdana" w:hAnsi="Verdana"/>
        <w:noProof/>
        <w:color w:val="000000"/>
        <w:sz w:val="16"/>
        <w:szCs w:val="16"/>
      </w:rPr>
      <w:t>November 17, 2014</w:t>
    </w:r>
    <w:r w:rsidRPr="00EE4925">
      <w:rPr>
        <w:rFonts w:ascii="Verdana" w:hAnsi="Verdana"/>
        <w:color w:val="000000"/>
        <w:sz w:val="16"/>
        <w:szCs w:val="16"/>
      </w:rPr>
      <w:fldChar w:fldCharType="end"/>
    </w:r>
  </w:p>
  <w:p w:rsidR="00BE6FB3" w:rsidRPr="00EE4925" w:rsidRDefault="00BE6FB3" w:rsidP="00EE4925">
    <w:pPr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Course plans represent district curriculum.  They will be posted to building web pages </w:t>
    </w:r>
    <w:r w:rsidR="00B97F01">
      <w:rPr>
        <w:rFonts w:ascii="Verdana" w:hAnsi="Verdana"/>
        <w:color w:val="000000"/>
        <w:sz w:val="16"/>
        <w:szCs w:val="16"/>
      </w:rPr>
      <w:t>accessible</w:t>
    </w:r>
    <w:r>
      <w:rPr>
        <w:rFonts w:ascii="Verdana" w:hAnsi="Verdana"/>
        <w:color w:val="000000"/>
        <w:sz w:val="16"/>
        <w:szCs w:val="16"/>
      </w:rPr>
      <w:t xml:space="preserve"> to the school and community.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BB" w:rsidRDefault="006D0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F1" w:rsidRDefault="005271F1" w:rsidP="00C12ACE">
      <w:r>
        <w:separator/>
      </w:r>
    </w:p>
  </w:footnote>
  <w:footnote w:type="continuationSeparator" w:id="0">
    <w:p w:rsidR="005271F1" w:rsidRDefault="005271F1" w:rsidP="00C12ACE">
      <w:r>
        <w:continuationSeparator/>
      </w:r>
    </w:p>
  </w:footnote>
  <w:footnote w:id="1">
    <w:p w:rsidR="00281B1C" w:rsidRDefault="00281B1C">
      <w:pPr>
        <w:pStyle w:val="FootnoteText"/>
      </w:pPr>
      <w:r>
        <w:rPr>
          <w:rStyle w:val="FootnoteReference"/>
        </w:rPr>
        <w:footnoteRef/>
      </w:r>
      <w:r>
        <w:t xml:space="preserve"> Indicate primary Standards emphasis: </w:t>
      </w:r>
    </w:p>
    <w:p w:rsidR="00281B1C" w:rsidRDefault="00281B1C" w:rsidP="00281B1C">
      <w:pPr>
        <w:pStyle w:val="FootnoteText"/>
        <w:numPr>
          <w:ilvl w:val="0"/>
          <w:numId w:val="26"/>
        </w:numPr>
      </w:pPr>
      <w:r>
        <w:t>PA Core - Math / ELA / Science &amp; Technology / History &amp; Social Studies</w:t>
      </w:r>
    </w:p>
    <w:p w:rsidR="00281B1C" w:rsidRDefault="00281B1C" w:rsidP="00281B1C">
      <w:pPr>
        <w:pStyle w:val="FootnoteText"/>
        <w:numPr>
          <w:ilvl w:val="0"/>
          <w:numId w:val="26"/>
        </w:numPr>
      </w:pPr>
      <w:r>
        <w:t>National Content Standards</w:t>
      </w:r>
      <w:r w:rsidR="003A7AEE">
        <w:t xml:space="preserve"> (Name and Type)</w:t>
      </w:r>
    </w:p>
    <w:p w:rsidR="00281B1C" w:rsidRDefault="00281B1C" w:rsidP="00281B1C">
      <w:pPr>
        <w:pStyle w:val="FootnoteText"/>
        <w:numPr>
          <w:ilvl w:val="0"/>
          <w:numId w:val="26"/>
        </w:numPr>
      </w:pPr>
      <w:r>
        <w:t>Industry Recognized Standards</w:t>
      </w:r>
      <w:r w:rsidR="003A7AEE">
        <w:t xml:space="preserve"> (Name and Type)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BB" w:rsidRDefault="006D0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BB" w:rsidRDefault="0063510C" w:rsidP="00A17BCC">
    <w:pPr>
      <w:pStyle w:val="Header"/>
      <w:ind w:firstLine="72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-895350</wp:posOffset>
          </wp:positionV>
          <wp:extent cx="358775" cy="565785"/>
          <wp:effectExtent l="0" t="0" r="3175" b="5715"/>
          <wp:wrapSquare wrapText="bothSides"/>
          <wp:docPr id="2" name="Picture 2" descr="Mounty Logo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unty Logo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EBB">
      <w:t>South Williamsport Area School District</w:t>
    </w:r>
  </w:p>
  <w:p w:rsidR="006D0EBB" w:rsidRDefault="006D0EBB" w:rsidP="00A17BCC">
    <w:pPr>
      <w:pStyle w:val="Header"/>
      <w:ind w:firstLine="720"/>
    </w:pPr>
    <w:r>
      <w:t>Course Plan Template</w:t>
    </w:r>
  </w:p>
  <w:p w:rsidR="006D0EBB" w:rsidRDefault="006D0EBB">
    <w:pPr>
      <w:pStyle w:val="Header"/>
    </w:pPr>
  </w:p>
  <w:p w:rsidR="006D0EBB" w:rsidRDefault="006D0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BB" w:rsidRDefault="006D0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AD7"/>
    <w:multiLevelType w:val="hybridMultilevel"/>
    <w:tmpl w:val="BF2232C0"/>
    <w:lvl w:ilvl="0" w:tplc="63F63C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479"/>
    <w:multiLevelType w:val="hybridMultilevel"/>
    <w:tmpl w:val="DB76C88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93733BA"/>
    <w:multiLevelType w:val="hybridMultilevel"/>
    <w:tmpl w:val="AC6EA9A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0C2F27ED"/>
    <w:multiLevelType w:val="hybridMultilevel"/>
    <w:tmpl w:val="536A7F7C"/>
    <w:lvl w:ilvl="0" w:tplc="D6BA58D4">
      <w:numFmt w:val="bullet"/>
      <w:lvlText w:val="-"/>
      <w:lvlJc w:val="left"/>
      <w:pPr>
        <w:ind w:left="28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EF8480E"/>
    <w:multiLevelType w:val="hybridMultilevel"/>
    <w:tmpl w:val="E87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6853"/>
    <w:multiLevelType w:val="hybridMultilevel"/>
    <w:tmpl w:val="1F0A2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BD1BBD"/>
    <w:multiLevelType w:val="hybridMultilevel"/>
    <w:tmpl w:val="8C926288"/>
    <w:lvl w:ilvl="0" w:tplc="BF688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E1D46"/>
    <w:multiLevelType w:val="hybridMultilevel"/>
    <w:tmpl w:val="6CCC3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80A01"/>
    <w:multiLevelType w:val="hybridMultilevel"/>
    <w:tmpl w:val="FDCA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E3100"/>
    <w:multiLevelType w:val="hybridMultilevel"/>
    <w:tmpl w:val="1E028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42D22"/>
    <w:multiLevelType w:val="hybridMultilevel"/>
    <w:tmpl w:val="4360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A5770"/>
    <w:multiLevelType w:val="hybridMultilevel"/>
    <w:tmpl w:val="0F98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224F7"/>
    <w:multiLevelType w:val="hybridMultilevel"/>
    <w:tmpl w:val="BE067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02C0E"/>
    <w:multiLevelType w:val="hybridMultilevel"/>
    <w:tmpl w:val="D96EC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268C3"/>
    <w:multiLevelType w:val="hybridMultilevel"/>
    <w:tmpl w:val="A63004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F3803"/>
    <w:multiLevelType w:val="hybridMultilevel"/>
    <w:tmpl w:val="DCE49F62"/>
    <w:lvl w:ilvl="0" w:tplc="0DCA72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D49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CB6BFE"/>
    <w:multiLevelType w:val="hybridMultilevel"/>
    <w:tmpl w:val="A3BCD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C7A34"/>
    <w:multiLevelType w:val="hybridMultilevel"/>
    <w:tmpl w:val="FD2C0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4C3DD0"/>
    <w:multiLevelType w:val="hybridMultilevel"/>
    <w:tmpl w:val="37E00004"/>
    <w:lvl w:ilvl="0" w:tplc="17FA4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B1D10"/>
    <w:multiLevelType w:val="hybridMultilevel"/>
    <w:tmpl w:val="597681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A22C80"/>
    <w:multiLevelType w:val="hybridMultilevel"/>
    <w:tmpl w:val="B29CBB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87066"/>
    <w:multiLevelType w:val="hybridMultilevel"/>
    <w:tmpl w:val="86A62A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022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AB411C"/>
    <w:multiLevelType w:val="hybridMultilevel"/>
    <w:tmpl w:val="15EED4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C9E0A74"/>
    <w:multiLevelType w:val="hybridMultilevel"/>
    <w:tmpl w:val="CBE8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2"/>
  </w:num>
  <w:num w:numId="5">
    <w:abstractNumId w:val="20"/>
  </w:num>
  <w:num w:numId="6">
    <w:abstractNumId w:val="3"/>
  </w:num>
  <w:num w:numId="7">
    <w:abstractNumId w:val="0"/>
  </w:num>
  <w:num w:numId="8">
    <w:abstractNumId w:val="11"/>
  </w:num>
  <w:num w:numId="9">
    <w:abstractNumId w:val="18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  <w:num w:numId="15">
    <w:abstractNumId w:val="15"/>
  </w:num>
  <w:num w:numId="16">
    <w:abstractNumId w:val="13"/>
  </w:num>
  <w:num w:numId="17">
    <w:abstractNumId w:val="7"/>
  </w:num>
  <w:num w:numId="18">
    <w:abstractNumId w:val="9"/>
  </w:num>
  <w:num w:numId="19">
    <w:abstractNumId w:val="14"/>
  </w:num>
  <w:num w:numId="20">
    <w:abstractNumId w:val="21"/>
  </w:num>
  <w:num w:numId="21">
    <w:abstractNumId w:val="25"/>
  </w:num>
  <w:num w:numId="22">
    <w:abstractNumId w:val="12"/>
  </w:num>
  <w:num w:numId="23">
    <w:abstractNumId w:val="17"/>
  </w:num>
  <w:num w:numId="24">
    <w:abstractNumId w:val="4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20"/>
    <w:rsid w:val="0000565B"/>
    <w:rsid w:val="00014838"/>
    <w:rsid w:val="000452C2"/>
    <w:rsid w:val="000511E2"/>
    <w:rsid w:val="000826C0"/>
    <w:rsid w:val="000B6E1B"/>
    <w:rsid w:val="000E2226"/>
    <w:rsid w:val="001755EF"/>
    <w:rsid w:val="001E2EE0"/>
    <w:rsid w:val="002437FD"/>
    <w:rsid w:val="00281B1C"/>
    <w:rsid w:val="00311C82"/>
    <w:rsid w:val="003213FF"/>
    <w:rsid w:val="003379B4"/>
    <w:rsid w:val="00354965"/>
    <w:rsid w:val="00375A8D"/>
    <w:rsid w:val="003A7AEE"/>
    <w:rsid w:val="003B1BB7"/>
    <w:rsid w:val="003B495E"/>
    <w:rsid w:val="004029BA"/>
    <w:rsid w:val="00416ECA"/>
    <w:rsid w:val="00434748"/>
    <w:rsid w:val="00470B64"/>
    <w:rsid w:val="004A2507"/>
    <w:rsid w:val="004C1B38"/>
    <w:rsid w:val="00502F45"/>
    <w:rsid w:val="005271F1"/>
    <w:rsid w:val="00552F20"/>
    <w:rsid w:val="005679FA"/>
    <w:rsid w:val="005D582E"/>
    <w:rsid w:val="005F09C5"/>
    <w:rsid w:val="0063510C"/>
    <w:rsid w:val="006B75AC"/>
    <w:rsid w:val="006D0EBB"/>
    <w:rsid w:val="00706B66"/>
    <w:rsid w:val="00714C90"/>
    <w:rsid w:val="00761F50"/>
    <w:rsid w:val="007B1900"/>
    <w:rsid w:val="007C1623"/>
    <w:rsid w:val="007D5E26"/>
    <w:rsid w:val="007F5559"/>
    <w:rsid w:val="008378A9"/>
    <w:rsid w:val="00867B9D"/>
    <w:rsid w:val="00891921"/>
    <w:rsid w:val="009069DB"/>
    <w:rsid w:val="009375DE"/>
    <w:rsid w:val="00942E8A"/>
    <w:rsid w:val="009461F2"/>
    <w:rsid w:val="009507F0"/>
    <w:rsid w:val="009E78EF"/>
    <w:rsid w:val="00A139F9"/>
    <w:rsid w:val="00A17BCC"/>
    <w:rsid w:val="00A44A5E"/>
    <w:rsid w:val="00A63282"/>
    <w:rsid w:val="00AB046F"/>
    <w:rsid w:val="00AE492C"/>
    <w:rsid w:val="00B55535"/>
    <w:rsid w:val="00B73208"/>
    <w:rsid w:val="00B97F01"/>
    <w:rsid w:val="00BD1996"/>
    <w:rsid w:val="00BD52DF"/>
    <w:rsid w:val="00BE6FB3"/>
    <w:rsid w:val="00BF6574"/>
    <w:rsid w:val="00C12ACE"/>
    <w:rsid w:val="00C7293F"/>
    <w:rsid w:val="00C82A17"/>
    <w:rsid w:val="00C94528"/>
    <w:rsid w:val="00D42FB9"/>
    <w:rsid w:val="00D70285"/>
    <w:rsid w:val="00D739C1"/>
    <w:rsid w:val="00DA18BE"/>
    <w:rsid w:val="00E55DAB"/>
    <w:rsid w:val="00EE4925"/>
    <w:rsid w:val="00F45920"/>
    <w:rsid w:val="00F5495F"/>
    <w:rsid w:val="00F720B5"/>
    <w:rsid w:val="00FC0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66952-8FE4-4F03-B9E7-EA155DB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30"/>
    <w:rPr>
      <w:sz w:val="24"/>
      <w:szCs w:val="24"/>
    </w:rPr>
  </w:style>
  <w:style w:type="paragraph" w:styleId="Heading1">
    <w:name w:val="heading 1"/>
    <w:basedOn w:val="Normal"/>
    <w:next w:val="Normal"/>
    <w:qFormat/>
    <w:rsid w:val="00F31E30"/>
    <w:pPr>
      <w:keepNext/>
      <w:outlineLvl w:val="0"/>
    </w:pPr>
    <w:rPr>
      <w:b/>
      <w:sz w:val="48"/>
      <w:szCs w:val="20"/>
    </w:rPr>
  </w:style>
  <w:style w:type="paragraph" w:styleId="Heading3">
    <w:name w:val="heading 3"/>
    <w:basedOn w:val="Normal"/>
    <w:next w:val="Normal"/>
    <w:qFormat/>
    <w:rsid w:val="00F31E30"/>
    <w:pPr>
      <w:keepNext/>
      <w:jc w:val="center"/>
      <w:outlineLvl w:val="2"/>
    </w:pPr>
    <w:rPr>
      <w:rFonts w:ascii="Berlin Sans FB" w:hAnsi="Berlin Sans FB"/>
      <w:i/>
      <w:sz w:val="22"/>
      <w:szCs w:val="20"/>
    </w:rPr>
  </w:style>
  <w:style w:type="paragraph" w:styleId="Heading4">
    <w:name w:val="heading 4"/>
    <w:basedOn w:val="Normal"/>
    <w:next w:val="Normal"/>
    <w:qFormat/>
    <w:rsid w:val="00F31E30"/>
    <w:pPr>
      <w:keepNext/>
      <w:jc w:val="center"/>
      <w:outlineLvl w:val="3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A20"/>
    <w:rPr>
      <w:color w:val="000000"/>
      <w:u w:val="single"/>
    </w:rPr>
  </w:style>
  <w:style w:type="paragraph" w:styleId="Header">
    <w:name w:val="header"/>
    <w:basedOn w:val="Normal"/>
    <w:rsid w:val="00F31E30"/>
    <w:pPr>
      <w:tabs>
        <w:tab w:val="center" w:pos="4320"/>
        <w:tab w:val="right" w:pos="8640"/>
      </w:tabs>
    </w:pPr>
    <w:rPr>
      <w:szCs w:val="20"/>
    </w:rPr>
  </w:style>
  <w:style w:type="character" w:styleId="Strong">
    <w:name w:val="Strong"/>
    <w:qFormat/>
    <w:rsid w:val="00297A20"/>
    <w:rPr>
      <w:b/>
      <w:bCs/>
    </w:rPr>
  </w:style>
  <w:style w:type="character" w:styleId="CommentReference">
    <w:name w:val="annotation reference"/>
    <w:rsid w:val="00AC7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AD0"/>
  </w:style>
  <w:style w:type="paragraph" w:styleId="CommentSubject">
    <w:name w:val="annotation subject"/>
    <w:basedOn w:val="CommentText"/>
    <w:next w:val="CommentText"/>
    <w:link w:val="CommentSubjectChar"/>
    <w:rsid w:val="00AC7AD0"/>
    <w:rPr>
      <w:b/>
      <w:bCs/>
    </w:rPr>
  </w:style>
  <w:style w:type="character" w:customStyle="1" w:styleId="CommentSubjectChar">
    <w:name w:val="Comment Subject Char"/>
    <w:link w:val="CommentSubject"/>
    <w:rsid w:val="00AC7AD0"/>
    <w:rPr>
      <w:b/>
      <w:bCs/>
    </w:rPr>
  </w:style>
  <w:style w:type="paragraph" w:styleId="BalloonText">
    <w:name w:val="Balloon Text"/>
    <w:basedOn w:val="Normal"/>
    <w:link w:val="BalloonTextChar"/>
    <w:rsid w:val="00AC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7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4E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1C4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169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Footer">
    <w:name w:val="footer"/>
    <w:basedOn w:val="Normal"/>
    <w:link w:val="FooterChar"/>
    <w:rsid w:val="00F716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169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B1C"/>
  </w:style>
  <w:style w:type="character" w:styleId="FootnoteReference">
    <w:name w:val="footnote reference"/>
    <w:uiPriority w:val="99"/>
    <w:semiHidden/>
    <w:unhideWhenUsed/>
    <w:rsid w:val="00281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m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EE80-CA9C-459B-A283-8DED38D692C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64F4239-0745-40AC-948F-21963993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SMU Dedman School of Law</Company>
  <LinksUpToDate>false</LinksUpToDate>
  <CharactersWithSpaces>3158</CharactersWithSpaces>
  <SharedDoc>false</SharedDoc>
  <HyperlinkBase/>
  <HLinks>
    <vt:vector size="6" baseType="variant"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http://www.interactmath.com/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Study Island</dc:creator>
  <cp:keywords/>
  <cp:lastModifiedBy>Jamie Bloom</cp:lastModifiedBy>
  <cp:revision>6</cp:revision>
  <cp:lastPrinted>2014-11-11T19:42:00Z</cp:lastPrinted>
  <dcterms:created xsi:type="dcterms:W3CDTF">2014-11-17T12:59:00Z</dcterms:created>
  <dcterms:modified xsi:type="dcterms:W3CDTF">2014-11-17T15:37:00Z</dcterms:modified>
</cp:coreProperties>
</file>